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2A4A"/>
          <w:sz w:val="40"/>
        </w:rPr>
        <w:t>Business Continuity Management Policy</w:t>
      </w:r>
    </w:p>
    <w:p>
      <w:r>
        <w:rPr>
          <w:i/>
        </w:rPr>
        <w:t>[Organisation name]. Approved by [Board / CEO], [date]. Aligned with AE/SCNS/NCEMA 7000:2021 and ISO 22301:2019.</w:t>
      </w:r>
    </w:p>
    <w:p>
      <w:r>
        <w:rPr>
          <w:sz w:val="20"/>
        </w:rPr>
        <w:t>How to use. Replace text in [square brackets] with your organisation's data. Delete sections marked "if applicable" when they do not apply. Legal and internal audit review the document before approval.</w:t>
      </w:r>
    </w:p>
    <w:p>
      <w:pPr>
        <w:pStyle w:val="Heading1"/>
      </w:pPr>
      <w:r>
        <w:rPr>
          <w:color w:val="1B2A4A"/>
        </w:rPr>
        <w:t>1. Purpose and scope</w:t>
      </w:r>
    </w:p>
    <w:p>
      <w:r>
        <w:t>This policy sets the objectives, principles and responsibilities for business continuity management (BCM) in [organisation]. It applies to all business units, sites and subsidiaries [if applicable] and to critical suppliers through contractual requirements. It covers the prioritised activities listed in Appendix A and the threats identified in the risk assessment.</w:t>
      </w:r>
    </w:p>
    <w:p>
      <w:pPr>
        <w:pStyle w:val="Heading1"/>
      </w:pPr>
      <w:r>
        <w:rPr>
          <w:color w:val="1B2A4A"/>
        </w:rPr>
        <w:t>2. Policy statement</w:t>
      </w:r>
    </w:p>
    <w:p>
      <w:r>
        <w:t>[Organisation] shall maintain the ability to continue delivering its prioritised activities at an agreed minimum level during a disruption and to recover them within agreed timeframes, protecting people first, then obligations to customers, regulators and partners.</w:t>
      </w:r>
    </w:p>
    <w:p>
      <w:pPr>
        <w:pStyle w:val="Heading1"/>
      </w:pPr>
      <w:r>
        <w:rPr>
          <w:color w:val="1B2A4A"/>
        </w:rPr>
        <w:t>3. Objectives</w:t>
      </w:r>
    </w:p>
    <w:p>
      <w:pPr>
        <w:pStyle w:val="ListBullet"/>
      </w:pPr>
      <w:r>
        <w:t>Prioritised activities are identified through a business impact analysis reviewed at least annually, with MTPD, RTO, RPO and MBCO agreed for each.</w:t>
      </w:r>
    </w:p>
    <w:p>
      <w:pPr>
        <w:pStyle w:val="ListBullet"/>
      </w:pPr>
      <w:r>
        <w:t>Business continuity plans exist for every prioritised activity and are exercised at least [annually].</w:t>
      </w:r>
    </w:p>
    <w:p>
      <w:pPr>
        <w:pStyle w:val="ListBullet"/>
      </w:pPr>
      <w:r>
        <w:t>Incidents are detected, escalated and managed through a defined structure within [30 minutes] of detection.</w:t>
      </w:r>
    </w:p>
    <w:p>
      <w:pPr>
        <w:pStyle w:val="ListBullet"/>
      </w:pPr>
      <w:r>
        <w:t>Critical suppliers and single points of failure are known and managed.</w:t>
      </w:r>
    </w:p>
    <w:p>
      <w:pPr>
        <w:pStyle w:val="ListBullet"/>
      </w:pPr>
      <w:r>
        <w:t>Compliance with AE/SCNS/NCEMA 7000 and applicable regulatory requirements [CBUAE, sector regulators] is demonstrated with evidence.</w:t>
      </w:r>
    </w:p>
    <w:p>
      <w:pPr>
        <w:pStyle w:val="Heading1"/>
      </w:pPr>
      <w:r>
        <w:rPr>
          <w:color w:val="1B2A4A"/>
        </w:rPr>
        <w:t>4. Principles</w:t>
      </w:r>
    </w:p>
    <w:p>
      <w:pPr>
        <w:pStyle w:val="ListBullet"/>
      </w:pPr>
      <w:r>
        <w:t>Top management ownership: a named executive is accountable for the BCMS.</w:t>
      </w:r>
    </w:p>
    <w:p>
      <w:pPr>
        <w:pStyle w:val="ListBullet"/>
      </w:pPr>
      <w:r>
        <w:t>Service view: continuity is measured from the customer's side, not system by system.</w:t>
      </w:r>
    </w:p>
    <w:p>
      <w:pPr>
        <w:pStyle w:val="ListBullet"/>
      </w:pPr>
      <w:r>
        <w:t>Evidence over intention: a plan that has not been exercised is treated as non-existent.</w:t>
      </w:r>
    </w:p>
    <w:p>
      <w:pPr>
        <w:pStyle w:val="ListBullet"/>
      </w:pPr>
      <w:r>
        <w:t>Proportionality: depth of arrangements matches the criticality of the activity.</w:t>
      </w:r>
    </w:p>
    <w:p>
      <w:pPr>
        <w:pStyle w:val="ListBullet"/>
      </w:pPr>
      <w:r>
        <w:t>Continual improvement: lessons from incidents, exercises and audits are tracked to closure.</w:t>
      </w:r>
    </w:p>
    <w:p>
      <w:pPr>
        <w:pStyle w:val="Heading1"/>
      </w:pPr>
      <w:r>
        <w:rPr>
          <w:color w:val="1B2A4A"/>
        </w:rPr>
        <w:t>5. Roles and responsibilities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b/>
                <w:sz w:val="20"/>
              </w:rPr>
              <w:t>Role</w:t>
            </w:r>
          </w:p>
        </w:tc>
        <w:tc>
          <w:tcPr>
            <w:tcW w:type="dxa" w:w="4986"/>
          </w:tcPr>
          <w:p>
            <w:r/>
            <w:r>
              <w:rPr>
                <w:b/>
                <w:sz w:val="20"/>
              </w:rPr>
              <w:t>Responsibility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Board / Owner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  <w:t>Approves the policy and the tolerable disruption levels; reviews the annual BCM report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CEO / Top management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  <w:t>Accountable executive for the BCMS; approves scope, BIA outputs and plans; chairs the crisis management team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BCM Manager / Coordinator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  <w:t>Methodology, BIA facilitation, plan maintenance, exercise programme, reporting, liaison with NCEMA and regulators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Activity owners (department heads)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  <w:t>Recovery objectives, procedures, participation in exercises, upkeep of their plans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IT / Information security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  <w:t>Critical architecture, DR plans, backup and restore within RPO and RTO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Procurement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  <w:t>Continuity clauses, supplier assessments, alternative sourcing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Internal audit / Risk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  <w:t>Independent review of the BCMS and follow-up of corrective actions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All staff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  <w:t>Awareness of their role in plans; reporting of incidents</w:t>
            </w:r>
          </w:p>
        </w:tc>
      </w:tr>
    </w:tbl>
    <w:p/>
    <w:p>
      <w:pPr>
        <w:pStyle w:val="Heading1"/>
      </w:pPr>
      <w:r>
        <w:rPr>
          <w:color w:val="1B2A4A"/>
        </w:rPr>
        <w:t>6. BCMS framework</w:t>
      </w:r>
    </w:p>
    <w:p>
      <w:r>
        <w:t>The BCMS follows the Plan-Do-Check-Act cycle: context and scope; BIA and risk assessment; strategy selection; plans and procedures; exercising; monitoring, internal audit and management review; corrective action. Documented information is controlled under [document control procedure].</w:t>
      </w:r>
    </w:p>
    <w:p>
      <w:pPr>
        <w:pStyle w:val="Heading1"/>
      </w:pPr>
      <w:r>
        <w:rPr>
          <w:color w:val="1B2A4A"/>
        </w:rPr>
        <w:t>7. Exercising and testing</w:t>
      </w:r>
    </w:p>
    <w:p>
      <w:r>
        <w:t>An annual exercise programme approved by top management covers every prioritised activity: call-tree tests [quarterly], tabletop exercises [twice a year], at least one live or partial live test [annually]. Each exercise is recorded with findings and corrective actions.</w:t>
      </w:r>
    </w:p>
    <w:p>
      <w:pPr>
        <w:pStyle w:val="Heading1"/>
      </w:pPr>
      <w:r>
        <w:rPr>
          <w:color w:val="1B2A4A"/>
        </w:rPr>
        <w:t>8. Suppliers and outsourcing</w:t>
      </w:r>
    </w:p>
    <w:p>
      <w:r>
        <w:t>Contracts with critical suppliers include continuity requirements, incident notification, service levels and the right to review the supplier's arrangements. Concentration on a single supplier without an alternative is recorded as a single point of failure.</w:t>
      </w:r>
    </w:p>
    <w:p>
      <w:pPr>
        <w:pStyle w:val="Heading1"/>
      </w:pPr>
      <w:r>
        <w:rPr>
          <w:color w:val="1B2A4A"/>
        </w:rPr>
        <w:t>9. Communication</w:t>
      </w:r>
    </w:p>
    <w:p>
      <w:r>
        <w:t>Internal and external communication during disruption follows the crisis communication procedure. [Role] is the only authorised spokesperson. Notification of NCEMA and sector regulators follows the timelines set in [regulation].</w:t>
      </w:r>
    </w:p>
    <w:p>
      <w:pPr>
        <w:pStyle w:val="Heading1"/>
      </w:pPr>
      <w:r>
        <w:rPr>
          <w:color w:val="1B2A4A"/>
        </w:rPr>
        <w:t>10. Review</w:t>
      </w:r>
    </w:p>
    <w:p>
      <w:r>
        <w:t>This policy is reviewed at least every [two years] and after significant incidents, organisational or regulatory change. Owner: [role].</w:t>
      </w:r>
    </w:p>
    <w:p>
      <w:pPr>
        <w:pStyle w:val="Heading1"/>
      </w:pPr>
      <w:r>
        <w:rPr>
          <w:color w:val="1B2A4A"/>
        </w:rPr>
        <w:t>Appendix A. Prioritised activities and recovery objectives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/>
            <w:r>
              <w:rPr>
                <w:b/>
                <w:sz w:val="20"/>
              </w:rPr>
              <w:t>Activity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20"/>
              </w:rPr>
              <w:t>Owner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20"/>
              </w:rPr>
              <w:t>MTPD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20"/>
              </w:rPr>
              <w:t>RTO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20"/>
              </w:rPr>
              <w:t>RPO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20"/>
              </w:rPr>
              <w:t>MBCO</w:t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20"/>
              </w:rPr>
              <w:t>[Customer payments]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[Head of Operations]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[4 h]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[2 h]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[15 min]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[priority clients only]</w:t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</w:r>
          </w:p>
        </w:tc>
      </w:tr>
    </w:tbl>
    <w:p/>
    <w:p>
      <w:r>
        <w:rPr>
          <w:color w:val="808080"/>
          <w:sz w:val="18"/>
        </w:rPr>
        <w:t>Template by risk-place.org, business continuity and resilience practice of Evgeny Telenkov, PhD. Free to use inside your organisation. Version 01 October 2026.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