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B2A4A"/>
          <w:sz w:val="40"/>
        </w:rPr>
        <w:t>Business Continuity Plan</w:t>
      </w:r>
    </w:p>
    <w:p>
      <w:r>
        <w:rPr>
          <w:i/>
        </w:rPr>
        <w:t>[Organisation / site name]. Version [1.0], approved [date]. One plan per prioritised activity or site.</w:t>
      </w:r>
    </w:p>
    <w:p>
      <w:r>
        <w:rPr>
          <w:sz w:val="20"/>
        </w:rPr>
        <w:t>How to use. Replace text in [square brackets] with your organisation's data. Delete sections marked "if applicable" when they do not apply. Legal and internal audit review the document before approval.</w:t>
      </w:r>
    </w:p>
    <w:p>
      <w:pPr>
        <w:pStyle w:val="Heading1"/>
      </w:pPr>
      <w:r>
        <w:rPr>
          <w:color w:val="1B2A4A"/>
        </w:rPr>
        <w:t>1. Purpose, scope and activation criteria</w:t>
      </w:r>
    </w:p>
    <w:p>
      <w:r>
        <w:t>This plan describes how [activity / site] continues at the minimum level and recovers after a disruption. It is activated by [crisis team leader or deputy] when any of the following is confirmed: [loss of the site; loss of the core IT system for more than X hours; loss of a critical supplier; unavailability of more than Y % of staff; security incident with operational impact].</w:t>
      </w:r>
    </w:p>
    <w:p>
      <w:pPr>
        <w:pStyle w:val="Heading1"/>
      </w:pPr>
      <w:r>
        <w:rPr>
          <w:color w:val="1B2A4A"/>
        </w:rPr>
        <w:t>2. Prioritised activities and objectives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662"/>
          </w:tcPr>
          <w:p>
            <w:r/>
            <w:r>
              <w:rPr>
                <w:b/>
                <w:sz w:val="20"/>
              </w:rPr>
              <w:t>Activity</w:t>
            </w:r>
          </w:p>
        </w:tc>
        <w:tc>
          <w:tcPr>
            <w:tcW w:type="dxa" w:w="1662"/>
          </w:tcPr>
          <w:p>
            <w:r/>
            <w:r>
              <w:rPr>
                <w:b/>
                <w:sz w:val="20"/>
              </w:rPr>
              <w:t>Owner</w:t>
            </w:r>
          </w:p>
        </w:tc>
        <w:tc>
          <w:tcPr>
            <w:tcW w:type="dxa" w:w="1662"/>
          </w:tcPr>
          <w:p>
            <w:r/>
            <w:r>
              <w:rPr>
                <w:b/>
                <w:sz w:val="20"/>
              </w:rPr>
              <w:t>MTPD</w:t>
            </w:r>
          </w:p>
        </w:tc>
        <w:tc>
          <w:tcPr>
            <w:tcW w:type="dxa" w:w="1662"/>
          </w:tcPr>
          <w:p>
            <w:r/>
            <w:r>
              <w:rPr>
                <w:b/>
                <w:sz w:val="20"/>
              </w:rPr>
              <w:t>RTO</w:t>
            </w:r>
          </w:p>
        </w:tc>
        <w:tc>
          <w:tcPr>
            <w:tcW w:type="dxa" w:w="1662"/>
          </w:tcPr>
          <w:p>
            <w:r/>
            <w:r>
              <w:rPr>
                <w:b/>
                <w:sz w:val="20"/>
              </w:rPr>
              <w:t>RPO</w:t>
            </w:r>
          </w:p>
        </w:tc>
        <w:tc>
          <w:tcPr>
            <w:tcW w:type="dxa" w:w="1662"/>
          </w:tcPr>
          <w:p>
            <w:r/>
            <w:r>
              <w:rPr>
                <w:b/>
                <w:sz w:val="20"/>
              </w:rPr>
              <w:t>Minimum level (MBCO)</w:t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20"/>
              </w:rPr>
              <w:t>[Order intake and invoicing]</w:t>
            </w:r>
          </w:p>
        </w:tc>
        <w:tc>
          <w:tcPr>
            <w:tcW w:type="dxa" w:w="1662"/>
          </w:tcPr>
          <w:p>
            <w:r/>
            <w:r>
              <w:rPr>
                <w:sz w:val="20"/>
              </w:rPr>
              <w:t>[Commercial director]</w:t>
            </w:r>
          </w:p>
        </w:tc>
        <w:tc>
          <w:tcPr>
            <w:tcW w:type="dxa" w:w="1662"/>
          </w:tcPr>
          <w:p>
            <w:r/>
            <w:r>
              <w:rPr>
                <w:sz w:val="20"/>
              </w:rPr>
              <w:t>[8 h]</w:t>
            </w:r>
          </w:p>
        </w:tc>
        <w:tc>
          <w:tcPr>
            <w:tcW w:type="dxa" w:w="1662"/>
          </w:tcPr>
          <w:p>
            <w:r/>
            <w:r>
              <w:rPr>
                <w:sz w:val="20"/>
              </w:rPr>
              <w:t>[4 h]</w:t>
            </w:r>
          </w:p>
        </w:tc>
        <w:tc>
          <w:tcPr>
            <w:tcW w:type="dxa" w:w="1662"/>
          </w:tcPr>
          <w:p>
            <w:r/>
            <w:r>
              <w:rPr>
                <w:sz w:val="20"/>
              </w:rPr>
              <w:t>[1 h]</w:t>
            </w:r>
          </w:p>
        </w:tc>
        <w:tc>
          <w:tcPr>
            <w:tcW w:type="dxa" w:w="1662"/>
          </w:tcPr>
          <w:p>
            <w:r/>
            <w:r>
              <w:rPr>
                <w:sz w:val="20"/>
              </w:rPr>
              <w:t>[phone intake, manual invoices from template]</w:t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20"/>
              </w:rPr>
              <w:t>[Dispatch]</w:t>
            </w:r>
          </w:p>
        </w:tc>
        <w:tc>
          <w:tcPr>
            <w:tcW w:type="dxa" w:w="1662"/>
          </w:tcPr>
          <w:p>
            <w:r/>
            <w:r>
              <w:rPr>
                <w:sz w:val="20"/>
              </w:rPr>
              <w:t>[Logistics manager]</w:t>
            </w:r>
          </w:p>
        </w:tc>
        <w:tc>
          <w:tcPr>
            <w:tcW w:type="dxa" w:w="1662"/>
          </w:tcPr>
          <w:p>
            <w:r/>
            <w:r>
              <w:rPr>
                <w:sz w:val="20"/>
              </w:rPr>
              <w:t>[24 h]</w:t>
            </w:r>
          </w:p>
        </w:tc>
        <w:tc>
          <w:tcPr>
            <w:tcW w:type="dxa" w:w="1662"/>
          </w:tcPr>
          <w:p>
            <w:r/>
            <w:r>
              <w:rPr>
                <w:sz w:val="20"/>
              </w:rPr>
              <w:t>[8 h]</w:t>
            </w:r>
          </w:p>
        </w:tc>
        <w:tc>
          <w:tcPr>
            <w:tcW w:type="dxa" w:w="1662"/>
          </w:tcPr>
          <w:p>
            <w:r/>
            <w:r>
              <w:rPr>
                <w:sz w:val="20"/>
              </w:rPr>
              <w:t>[4 h]</w:t>
            </w:r>
          </w:p>
        </w:tc>
        <w:tc>
          <w:tcPr>
            <w:tcW w:type="dxa" w:w="1662"/>
          </w:tcPr>
          <w:p>
            <w:r/>
            <w:r>
              <w:rPr>
                <w:sz w:val="20"/>
              </w:rPr>
              <w:t>[50 % of daily volume, priority customers]</w:t>
            </w:r>
          </w:p>
        </w:tc>
      </w:tr>
    </w:tbl>
    <w:p/>
    <w:p>
      <w:pPr>
        <w:pStyle w:val="Heading1"/>
      </w:pPr>
      <w:r>
        <w:rPr>
          <w:color w:val="1B2A4A"/>
        </w:rPr>
        <w:t>3. Crisis management team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/>
            <w:r>
              <w:rPr>
                <w:b/>
                <w:sz w:val="20"/>
              </w:rPr>
              <w:t>Role</w:t>
            </w:r>
          </w:p>
        </w:tc>
        <w:tc>
          <w:tcPr>
            <w:tcW w:type="dxa" w:w="2493"/>
          </w:tcPr>
          <w:p>
            <w:r/>
            <w:r>
              <w:rPr>
                <w:b/>
                <w:sz w:val="20"/>
              </w:rPr>
              <w:t>Primary</w:t>
            </w:r>
          </w:p>
        </w:tc>
        <w:tc>
          <w:tcPr>
            <w:tcW w:type="dxa" w:w="2493"/>
          </w:tcPr>
          <w:p>
            <w:r/>
            <w:r>
              <w:rPr>
                <w:b/>
                <w:sz w:val="20"/>
              </w:rPr>
              <w:t>Deputy</w:t>
            </w:r>
          </w:p>
        </w:tc>
        <w:tc>
          <w:tcPr>
            <w:tcW w:type="dxa" w:w="2493"/>
          </w:tcPr>
          <w:p>
            <w:r/>
            <w:r>
              <w:rPr>
                <w:b/>
                <w:sz w:val="20"/>
              </w:rPr>
              <w:t>Authority</w:t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20"/>
              </w:rPr>
              <w:t>Team leader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[CEO]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[COO]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Activate the plan, set priorities, external statements</w:t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20"/>
              </w:rPr>
              <w:t>Coordinator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[BCM manager]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[…]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Logs, information flow, timelines</w:t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20"/>
              </w:rPr>
              <w:t>Operations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[…]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[…]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Switch to recovery strategies</w:t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20"/>
              </w:rPr>
              <w:t>IT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[…]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[…]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Systems and data recovery</w:t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20"/>
              </w:rPr>
              <w:t>People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[…]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[…]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Staff safety, notification, replacements</w:t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20"/>
              </w:rPr>
              <w:t>Finance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[…]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[…]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Payments, emergency funds, insurer notification</w:t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20"/>
              </w:rPr>
              <w:t>Communications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[…]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[…]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Customers, partners, media, regulator</w:t>
            </w:r>
          </w:p>
        </w:tc>
      </w:tr>
    </w:tbl>
    <w:p/>
    <w:p>
      <w:pPr>
        <w:pStyle w:val="Heading1"/>
      </w:pPr>
      <w:r>
        <w:rPr>
          <w:color w:val="1B2A4A"/>
        </w:rPr>
        <w:t>4. Scenarios and recovery strategies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/>
            <w:r>
              <w:rPr>
                <w:b/>
                <w:sz w:val="20"/>
              </w:rPr>
              <w:t>Scenario</w:t>
            </w:r>
          </w:p>
        </w:tc>
        <w:tc>
          <w:tcPr>
            <w:tcW w:type="dxa" w:w="2493"/>
          </w:tcPr>
          <w:p>
            <w:r/>
            <w:r>
              <w:rPr>
                <w:b/>
                <w:sz w:val="20"/>
              </w:rPr>
              <w:t>Strategy</w:t>
            </w:r>
          </w:p>
        </w:tc>
        <w:tc>
          <w:tcPr>
            <w:tcW w:type="dxa" w:w="2493"/>
          </w:tcPr>
          <w:p>
            <w:r/>
            <w:r>
              <w:rPr>
                <w:b/>
                <w:sz w:val="20"/>
              </w:rPr>
              <w:t>Resources</w:t>
            </w:r>
          </w:p>
        </w:tc>
        <w:tc>
          <w:tcPr>
            <w:tcW w:type="dxa" w:w="2493"/>
          </w:tcPr>
          <w:p>
            <w:r/>
            <w:r>
              <w:rPr>
                <w:b/>
                <w:sz w:val="20"/>
              </w:rPr>
              <w:t>Time to switch</w:t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20"/>
              </w:rPr>
              <w:t>Loss of site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[alternate site / remote work / contractor]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[address, equipment, access]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[hours]</w:t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20"/>
              </w:rPr>
              <w:t>Loss of IT systems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[restore from backup / manual workaround]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[backups, forms, people]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[hours]</w:t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20"/>
              </w:rPr>
              <w:t>Loss of critical supplier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[alternative supplier / buffer stock]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[contract, stock]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[days]</w:t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20"/>
              </w:rPr>
              <w:t>Staff unavailability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[cross-training, contractors, prioritisation]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[succession matrix]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[days]</w:t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20"/>
              </w:rPr>
              <w:t>Cyber attack / ransomware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[isolate, restore from offline backup, manual mode]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[IR plan]</w:t>
            </w:r>
          </w:p>
        </w:tc>
        <w:tc>
          <w:tcPr>
            <w:tcW w:type="dxa" w:w="2493"/>
          </w:tcPr>
          <w:p>
            <w:r/>
            <w:r>
              <w:rPr>
                <w:sz w:val="20"/>
              </w:rPr>
              <w:t>[hours]</w:t>
            </w:r>
          </w:p>
        </w:tc>
      </w:tr>
    </w:tbl>
    <w:p/>
    <w:p>
      <w:pPr>
        <w:pStyle w:val="Heading1"/>
      </w:pPr>
      <w:r>
        <w:rPr>
          <w:color w:val="1B2A4A"/>
        </w:rPr>
        <w:t>5. First 24 hours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r/>
            <w:r>
              <w:rPr>
                <w:b/>
                <w:sz w:val="20"/>
              </w:rPr>
              <w:t>Time from activation</w:t>
            </w:r>
          </w:p>
        </w:tc>
        <w:tc>
          <w:tcPr>
            <w:tcW w:type="dxa" w:w="3324"/>
          </w:tcPr>
          <w:p>
            <w:r/>
            <w:r>
              <w:rPr>
                <w:b/>
                <w:sz w:val="20"/>
              </w:rPr>
              <w:t>Action</w:t>
            </w:r>
          </w:p>
        </w:tc>
        <w:tc>
          <w:tcPr>
            <w:tcW w:type="dxa" w:w="3324"/>
          </w:tcPr>
          <w:p>
            <w:r/>
            <w:r>
              <w:rPr>
                <w:b/>
                <w:sz w:val="20"/>
              </w:rPr>
              <w:t>Responsible</w:t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20"/>
              </w:rPr>
              <w:t>0-30 min</w:t>
            </w:r>
          </w:p>
        </w:tc>
        <w:tc>
          <w:tcPr>
            <w:tcW w:type="dxa" w:w="3324"/>
          </w:tcPr>
          <w:p>
            <w:r/>
            <w:r>
              <w:rPr>
                <w:sz w:val="20"/>
              </w:rPr>
              <w:t>Life safety, confirm incident, assemble the team</w:t>
            </w:r>
          </w:p>
        </w:tc>
        <w:tc>
          <w:tcPr>
            <w:tcW w:type="dxa" w:w="3324"/>
          </w:tcPr>
          <w:p>
            <w:r/>
            <w:r>
              <w:rPr>
                <w:sz w:val="20"/>
              </w:rPr>
              <w:t>Site manager, team leader</w:t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20"/>
              </w:rPr>
              <w:t>30-60 min</w:t>
            </w:r>
          </w:p>
        </w:tc>
        <w:tc>
          <w:tcPr>
            <w:tcW w:type="dxa" w:w="3324"/>
          </w:tcPr>
          <w:p>
            <w:r/>
            <w:r>
              <w:rPr>
                <w:sz w:val="20"/>
              </w:rPr>
              <w:t>Assess scope, decide activation, notify staff</w:t>
            </w:r>
          </w:p>
        </w:tc>
        <w:tc>
          <w:tcPr>
            <w:tcW w:type="dxa" w:w="3324"/>
          </w:tcPr>
          <w:p>
            <w:r/>
            <w:r>
              <w:rPr>
                <w:sz w:val="20"/>
              </w:rPr>
              <w:t>Team, coordinator</w:t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20"/>
              </w:rPr>
              <w:t>1-4 h</w:t>
            </w:r>
          </w:p>
        </w:tc>
        <w:tc>
          <w:tcPr>
            <w:tcW w:type="dxa" w:w="3324"/>
          </w:tcPr>
          <w:p>
            <w:r/>
            <w:r>
              <w:rPr>
                <w:sz w:val="20"/>
              </w:rPr>
              <w:t>Launch recovery strategies for priority activities, notify key customers and partners</w:t>
            </w:r>
          </w:p>
        </w:tc>
        <w:tc>
          <w:tcPr>
            <w:tcW w:type="dxa" w:w="3324"/>
          </w:tcPr>
          <w:p>
            <w:r/>
            <w:r>
              <w:rPr>
                <w:sz w:val="20"/>
              </w:rPr>
              <w:t>Operations, communications</w:t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20"/>
              </w:rPr>
              <w:t>4-24 h</w:t>
            </w:r>
          </w:p>
        </w:tc>
        <w:tc>
          <w:tcPr>
            <w:tcW w:type="dxa" w:w="3324"/>
          </w:tcPr>
          <w:p>
            <w:r/>
            <w:r>
              <w:rPr>
                <w:sz w:val="20"/>
              </w:rPr>
              <w:t>Operate in recovery mode, track objectives, notify insurer and regulator where required</w:t>
            </w:r>
          </w:p>
        </w:tc>
        <w:tc>
          <w:tcPr>
            <w:tcW w:type="dxa" w:w="3324"/>
          </w:tcPr>
          <w:p>
            <w:r/>
            <w:r>
              <w:rPr>
                <w:sz w:val="20"/>
              </w:rPr>
              <w:t>Team</w:t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20"/>
              </w:rPr>
              <w:t>After</w:t>
            </w:r>
          </w:p>
        </w:tc>
        <w:tc>
          <w:tcPr>
            <w:tcW w:type="dxa" w:w="3324"/>
          </w:tcPr>
          <w:p>
            <w:r/>
            <w:r>
              <w:rPr>
                <w:sz w:val="20"/>
              </w:rPr>
              <w:t>Plan return to normal, post-incident review</w:t>
            </w:r>
          </w:p>
        </w:tc>
        <w:tc>
          <w:tcPr>
            <w:tcW w:type="dxa" w:w="3324"/>
          </w:tcPr>
          <w:p>
            <w:r/>
            <w:r>
              <w:rPr>
                <w:sz w:val="20"/>
              </w:rPr>
              <w:t>Team, coordinator</w:t>
            </w:r>
          </w:p>
        </w:tc>
      </w:tr>
    </w:tbl>
    <w:p/>
    <w:p>
      <w:pPr>
        <w:pStyle w:val="Heading1"/>
      </w:pPr>
      <w:r>
        <w:rPr>
          <w:color w:val="1B2A4A"/>
        </w:rPr>
        <w:t>6. Communication</w:t>
      </w:r>
    </w:p>
    <w:p>
      <w:r>
        <w:t>Message templates for staff, customers, suppliers, insurer, regulator and media are in Appendix C. Single authorised spokesperson: [role].</w:t>
      </w:r>
    </w:p>
    <w:p>
      <w:pPr>
        <w:pStyle w:val="Heading1"/>
      </w:pPr>
      <w:r>
        <w:rPr>
          <w:color w:val="1B2A4A"/>
        </w:rPr>
        <w:t>7. Resources and contacts</w:t>
      </w:r>
    </w:p>
    <w:p>
      <w:pPr>
        <w:pStyle w:val="ListBullet"/>
      </w:pPr>
      <w:r>
        <w:t>Alternate site: [address, capacity, access procedure]</w:t>
      </w:r>
    </w:p>
    <w:p>
      <w:pPr>
        <w:pStyle w:val="ListBullet"/>
      </w:pPr>
      <w:r>
        <w:t>Backups: [location, frequency, who restores]</w:t>
      </w:r>
    </w:p>
    <w:p>
      <w:pPr>
        <w:pStyle w:val="ListBullet"/>
      </w:pPr>
      <w:r>
        <w:t>Insurance: [business interruption, property; policy numbers and contacts]</w:t>
      </w:r>
    </w:p>
    <w:p>
      <w:pPr>
        <w:pStyle w:val="ListBullet"/>
      </w:pPr>
      <w:r>
        <w:t>Contact lists: team, key staff, suppliers, customers (Appendix B)</w:t>
      </w:r>
    </w:p>
    <w:p>
      <w:pPr>
        <w:pStyle w:val="Heading1"/>
      </w:pPr>
      <w:r>
        <w:rPr>
          <w:color w:val="1B2A4A"/>
        </w:rPr>
        <w:t>8. Exercising and maintenance</w:t>
      </w:r>
    </w:p>
    <w:p>
      <w:r>
        <w:t>Tabletop exercise at least annually, live test every [two years]. Reviewed annually and after every activation. Owner: [role].</w:t>
      </w:r>
    </w:p>
    <w:p>
      <w:pPr>
        <w:pStyle w:val="Heading1"/>
      </w:pPr>
      <w:r>
        <w:rPr>
          <w:color w:val="1B2A4A"/>
        </w:rPr>
        <w:t>Appendices</w:t>
      </w:r>
    </w:p>
    <w:p>
      <w:pPr>
        <w:pStyle w:val="ListBullet"/>
      </w:pPr>
      <w:r>
        <w:t>A. BIA outputs</w:t>
      </w:r>
    </w:p>
    <w:p>
      <w:pPr>
        <w:pStyle w:val="ListBullet"/>
      </w:pPr>
      <w:r>
        <w:t>B. Contact lists</w:t>
      </w:r>
    </w:p>
    <w:p>
      <w:pPr>
        <w:pStyle w:val="ListBullet"/>
      </w:pPr>
      <w:r>
        <w:t>C. Message templates</w:t>
      </w:r>
    </w:p>
    <w:p>
      <w:pPr>
        <w:pStyle w:val="ListBullet"/>
      </w:pPr>
      <w:r>
        <w:t>D. Incident log</w:t>
      </w:r>
    </w:p>
    <w:p>
      <w:pPr>
        <w:pStyle w:val="ListBullet"/>
      </w:pPr>
      <w:r>
        <w:t>E. Exercise reports</w:t>
      </w:r>
    </w:p>
    <w:p>
      <w:r>
        <w:rPr>
          <w:color w:val="808080"/>
          <w:sz w:val="18"/>
        </w:rPr>
        <w:t>Template by risk-place.org, business continuity and resilience practice of Evgeny Telenkov, PhD. Free to use inside your organisation. Version 01 October 2026.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