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Corporate Governance Framework</w:t>
      </w:r>
    </w:p>
    <w:p>
      <w:r>
        <w:rPr>
          <w:i/>
        </w:rPr>
        <w:t>[Organisation]. Approved by the Board, [date]. Sets how the organisation is directed and controlled; sector codes [SCA, ADGM, DIFC, CBUAE] prevail where stricter.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1. Purpose</w:t>
      </w:r>
    </w:p>
    <w:p>
      <w:r>
        <w:t>The framework defines the structures, responsibilities, policies and processes through which the Board directs the organisation, oversees management and is accountable to shareholders and stakeholders.</w:t>
      </w:r>
    </w:p>
    <w:p>
      <w:pPr>
        <w:pStyle w:val="Heading1"/>
      </w:pPr>
      <w:r>
        <w:rPr>
          <w:color w:val="1B2A4A"/>
        </w:rPr>
        <w:t>2. Governance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Body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Composition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Mandate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Meets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Board of Directors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[number] members, [number] independent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Strategy, risk appetite, CEO appointment, oversight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[quarterly]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Audit Committee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Independent chair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Financial reporting, internal and external audit, controls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[quarterly]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Risk Committee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[composition]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Risk appetite, resilience, compliance oversight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[quarterly]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Nomination and Remuneration Committee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[composition]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Succession, remuneration policy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[semi-annually]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Executive Management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CEO and direct reports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Execution within delegated authority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[weekly]</w:t>
            </w:r>
          </w:p>
        </w:tc>
      </w:tr>
    </w:tbl>
    <w:p/>
    <w:p>
      <w:pPr>
        <w:pStyle w:val="Heading1"/>
      </w:pPr>
      <w:r>
        <w:rPr>
          <w:color w:val="1B2A4A"/>
        </w:rPr>
        <w:t>3. Board responsibilities</w:t>
      </w:r>
    </w:p>
    <w:p>
      <w:pPr>
        <w:pStyle w:val="ListBullet"/>
      </w:pPr>
      <w:r>
        <w:t>Approve strategy, budget, risk appetite statement and major transactions above [threshold].</w:t>
      </w:r>
    </w:p>
    <w:p>
      <w:pPr>
        <w:pStyle w:val="ListBullet"/>
      </w:pPr>
      <w:r>
        <w:t>Appoint and evaluate the CEO; approve succession plans.</w:t>
      </w:r>
    </w:p>
    <w:p>
      <w:pPr>
        <w:pStyle w:val="ListBullet"/>
      </w:pPr>
      <w:r>
        <w:t>Oversee risk management, internal control, compliance and operational resilience.</w:t>
      </w:r>
    </w:p>
    <w:p>
      <w:pPr>
        <w:pStyle w:val="ListBullet"/>
      </w:pPr>
      <w:r>
        <w:t>Approve the governance, risk, BCM and conduct policies.</w:t>
      </w:r>
    </w:p>
    <w:p>
      <w:pPr>
        <w:pStyle w:val="ListBullet"/>
      </w:pPr>
      <w:r>
        <w:t>Ensure integrity of financial statements and disclosures.</w:t>
      </w:r>
    </w:p>
    <w:p>
      <w:pPr>
        <w:pStyle w:val="Heading1"/>
      </w:pPr>
      <w:r>
        <w:rPr>
          <w:color w:val="1B2A4A"/>
        </w:rPr>
        <w:t>4. Delegation of authority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Decision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Board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CEO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Executive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Capital expenditure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above [amount]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up to [amount]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up to [amount]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Contracts and commitments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above [amount] or [years]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Risk acceptance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red zone risks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orange zone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amber zone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Policy approval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board-level policies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operational policies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procedures</w:t>
            </w:r>
          </w:p>
        </w:tc>
      </w:tr>
    </w:tbl>
    <w:p/>
    <w:p>
      <w:pPr>
        <w:pStyle w:val="Heading1"/>
      </w:pPr>
      <w:r>
        <w:rPr>
          <w:color w:val="1B2A4A"/>
        </w:rPr>
        <w:t>5. Risk, control and resilience</w:t>
      </w:r>
    </w:p>
    <w:p>
      <w:r>
        <w:t>Three lines: management owns risks and controls; risk, compliance and BCM functions set methodology and monitor; internal audit assures independently. The Board reviews the risk and resilience report [quarterly]; impact tolerances for critical services are approved by the Board.</w:t>
      </w:r>
    </w:p>
    <w:p>
      <w:pPr>
        <w:pStyle w:val="Heading1"/>
      </w:pPr>
      <w:r>
        <w:rPr>
          <w:color w:val="1B2A4A"/>
        </w:rPr>
        <w:t>6. Conduct, ethics and conflicts</w:t>
      </w:r>
    </w:p>
    <w:p>
      <w:r>
        <w:t>Code of conduct, conflicts of interest register, related-party transaction policy, whistleblowing channel with protection from retaliation.</w:t>
      </w:r>
    </w:p>
    <w:p>
      <w:pPr>
        <w:pStyle w:val="Heading1"/>
      </w:pPr>
      <w:r>
        <w:rPr>
          <w:color w:val="1B2A4A"/>
        </w:rPr>
        <w:t>7. Disclosure and stakeholder engagement</w:t>
      </w:r>
    </w:p>
    <w:p>
      <w:r>
        <w:t>Annual governance report; disclosure of material events within [timeframe]; engagement plan for shareholders, regulators, employees and communities.</w:t>
      </w:r>
    </w:p>
    <w:p>
      <w:pPr>
        <w:pStyle w:val="Heading1"/>
      </w:pPr>
      <w:r>
        <w:rPr>
          <w:color w:val="1B2A4A"/>
        </w:rPr>
        <w:t>8. Board effectiveness</w:t>
      </w:r>
    </w:p>
    <w:p>
      <w:r>
        <w:t>Annual self-evaluation, external evaluation every [three years], induction and continuing education, independence review.</w:t>
      </w:r>
    </w:p>
    <w:p>
      <w:pPr>
        <w:pStyle w:val="Heading1"/>
      </w:pPr>
      <w:r>
        <w:rPr>
          <w:color w:val="1B2A4A"/>
        </w:rPr>
        <w:t>9. Review</w:t>
      </w:r>
    </w:p>
    <w:p>
      <w:r>
        <w:t>Framework reviewed every [two years] and on regulatory change. Owner: Company Secretary.</w:t>
      </w:r>
    </w:p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