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2A4A"/>
          <w:sz w:val="40"/>
        </w:rPr>
        <w:t>Crisis Management Plan</w:t>
      </w:r>
    </w:p>
    <w:p>
      <w:r>
        <w:rPr>
          <w:i/>
        </w:rPr>
        <w:t>[Organisation]. Governs strategic response to any event threatening people, operations, reputation or licence. Business continuity plans handle recovery of activities; this plan handles decisions and communication.</w:t>
      </w:r>
    </w:p>
    <w:p>
      <w:r>
        <w:rPr>
          <w:sz w:val="20"/>
        </w:rPr>
        <w:t>How to use. Replace text in [square brackets] with your organisation's data. Delete sections marked "if applicable" when they do not apply. Legal and internal audit review the document before approval.</w:t>
      </w:r>
    </w:p>
    <w:p>
      <w:pPr>
        <w:pStyle w:val="Heading1"/>
      </w:pPr>
      <w:r>
        <w:rPr>
          <w:color w:val="1B2A4A"/>
        </w:rPr>
        <w:t>1. Activation</w:t>
      </w:r>
    </w:p>
    <w:p>
      <w:r>
        <w:t>The plan is activated by [CEO / crisis team leader or deputy] when an event meets any criterion: [threat to life or safety; disruption of a critical service beyond its tolerance; incident requiring regulator notification; media or social media attention; legal or financial exposure above [amount]]. Activation time is logged.</w:t>
      </w:r>
    </w:p>
    <w:p>
      <w:pPr>
        <w:pStyle w:val="Heading1"/>
      </w:pPr>
      <w:r>
        <w:rPr>
          <w:color w:val="1B2A4A"/>
        </w:rPr>
        <w:t>2. Crisis management team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20"/>
              </w:rPr>
              <w:t>Role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Primary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Deputy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Responsibilities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Crisis team leader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[CEO]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[COO]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Strategic decisions, priorities, external statements, regulator contact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Coordinator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[BCM manager]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[…]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Situation picture, log, meeting rhythm, action tracking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Operations lead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[…]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[…]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Impact assessment, continuity plans activation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Communications lead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[…]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[…]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Staff, customers, media, social media, government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Legal and compliance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[…]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[…]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Notifications, evidence, liability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People and welfare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[…]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[…]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Staff safety, families, counselling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IT and security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[…]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[…]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Systems, data, cyber response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Finance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[…]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[…]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Emergency spending, insurance, cash</w:t>
            </w:r>
          </w:p>
        </w:tc>
      </w:tr>
    </w:tbl>
    <w:p/>
    <w:p>
      <w:pPr>
        <w:pStyle w:val="Heading1"/>
      </w:pPr>
      <w:r>
        <w:rPr>
          <w:color w:val="1B2A4A"/>
        </w:rPr>
        <w:t>3. Meeting rhythm and situation report</w:t>
      </w:r>
    </w:p>
    <w:p>
      <w:r>
        <w:t>First meeting within [30 minutes] of activation, then every [2 hours] on day one and [twice daily] thereafter. Each meeting follows the same agenda: situation, people, impact, decisions needed, communications, next meeting. Situation report template in Appendix A.</w:t>
      </w:r>
    </w:p>
    <w:p>
      <w:pPr>
        <w:pStyle w:val="Heading1"/>
      </w:pPr>
      <w:r>
        <w:rPr>
          <w:color w:val="1B2A4A"/>
        </w:rPr>
        <w:t>4. Decision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b/>
                <w:sz w:val="20"/>
              </w:rPr>
              <w:t>Time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20"/>
              </w:rPr>
              <w:t>Decision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20"/>
              </w:rPr>
              <w:t>Options considered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20"/>
              </w:rPr>
              <w:t>Decided by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20"/>
              </w:rPr>
              <w:t>Rationale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20"/>
              </w:rPr>
              <w:t>Review by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</w:r>
          </w:p>
        </w:tc>
      </w:tr>
    </w:tbl>
    <w:p/>
    <w:p>
      <w:pPr>
        <w:pStyle w:val="Heading1"/>
      </w:pPr>
      <w:r>
        <w:rPr>
          <w:color w:val="1B2A4A"/>
        </w:rPr>
        <w:t>5. Communication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/>
            <w:r>
              <w:rPr>
                <w:b/>
                <w:sz w:val="20"/>
              </w:rPr>
              <w:t>Audience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20"/>
              </w:rPr>
              <w:t>Message owner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20"/>
              </w:rPr>
              <w:t>Channel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20"/>
              </w:rPr>
              <w:t>Timing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20"/>
              </w:rPr>
              <w:t>Template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20"/>
              </w:rPr>
              <w:t>Staff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People lead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SMS, messenger, intranet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Within 1 hour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A1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20"/>
              </w:rPr>
              <w:t>Customers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Communications lead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Email, website, call centre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Within 2 hours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A2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20"/>
              </w:rPr>
              <w:t>Regulators (NCEMA, CBUAE, sector)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Legal and compliance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Prescribed channel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As required by regulation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A3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20"/>
              </w:rPr>
              <w:t>Media and social media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Communications lead, single spokesperson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Statement, press contact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Holding statement within 1 hour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A4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20"/>
              </w:rPr>
              <w:t>Board and shareholders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Crisis team leader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Call, email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Within 4 hours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A5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20"/>
              </w:rPr>
              <w:t>Insurers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Finance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Broker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Within 24 hours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A6</w:t>
            </w:r>
          </w:p>
        </w:tc>
      </w:tr>
    </w:tbl>
    <w:p/>
    <w:p>
      <w:pPr>
        <w:pStyle w:val="Heading1"/>
      </w:pPr>
      <w:r>
        <w:rPr>
          <w:color w:val="1B2A4A"/>
        </w:rPr>
        <w:t>6. Stand-down and review</w:t>
      </w:r>
    </w:p>
    <w:p>
      <w:r>
        <w:t>The team leader declares stand-down when services are within tolerance and no further decisions are expected. A post-incident review is completed within [10 working days] using the lessons-learned template.</w:t>
      </w:r>
    </w:p>
    <w:p>
      <w:pPr>
        <w:pStyle w:val="Heading1"/>
      </w:pPr>
      <w:r>
        <w:rPr>
          <w:color w:val="1B2A4A"/>
        </w:rPr>
        <w:t>7. Exercising</w:t>
      </w:r>
    </w:p>
    <w:p>
      <w:r>
        <w:t>Tabletop exercise at least [annually]; call-tree test [quarterly]; plan reviewed annually and after every activation.</w:t>
      </w:r>
    </w:p>
    <w:p>
      <w:pPr>
        <w:pStyle w:val="Heading1"/>
      </w:pPr>
      <w:r>
        <w:rPr>
          <w:color w:val="1B2A4A"/>
        </w:rPr>
        <w:t>Appendix A. Situation report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  <w:sz w:val="20"/>
              </w:rPr>
              <w:t>Field</w:t>
            </w:r>
          </w:p>
        </w:tc>
        <w:tc>
          <w:tcPr>
            <w:tcW w:type="dxa" w:w="4986"/>
          </w:tcPr>
          <w:p>
            <w:r/>
            <w:r>
              <w:rPr>
                <w:b/>
                <w:sz w:val="20"/>
              </w:rPr>
              <w:t>Content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As of (time)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What happened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People: casualties, missing, accounted for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Services affected and tolerance status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Actions taken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Decisions needed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Communications issued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Next meeting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</w:r>
          </w:p>
        </w:tc>
      </w:tr>
    </w:tbl>
    <w:p/>
    <w:p>
      <w:pPr>
        <w:pStyle w:val="Heading1"/>
      </w:pPr>
      <w:r>
        <w:rPr>
          <w:color w:val="1B2A4A"/>
        </w:rPr>
        <w:t>Appendix B. Message templates A1-A6</w:t>
      </w:r>
    </w:p>
    <w:p>
      <w:r>
        <w:t>[Holding statements for each audience, approved in advance by legal and communications.]</w:t>
      </w:r>
    </w:p>
    <w:p>
      <w:r>
        <w:rPr>
          <w:color w:val="808080"/>
          <w:sz w:val="18"/>
        </w:rPr>
        <w:t>Template by risk-place.org, business continuity and resilience practice of Evgeny Telenkov, PhD. Free to use inside your organisation. Version 01 October 2026.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